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5" w:line="227" w:lineRule="auto"/>
        <w:rPr>
          <w:rFonts w:hint="eastAsia" w:ascii="宋体" w:hAnsi="宋体" w:eastAsia="宋体" w:cs="宋体"/>
          <w:spacing w:val="-7"/>
          <w:sz w:val="21"/>
          <w:szCs w:val="21"/>
        </w:rPr>
      </w:pPr>
      <w:r>
        <w:rPr>
          <w:rFonts w:hint="eastAsia" w:ascii="宋体" w:hAnsi="宋体" w:eastAsia="宋体" w:cs="宋体"/>
          <w:spacing w:val="-10"/>
          <w:sz w:val="21"/>
          <w:szCs w:val="21"/>
        </w:rPr>
        <w:t>附</w:t>
      </w:r>
      <w:r>
        <w:rPr>
          <w:rFonts w:hint="eastAsia" w:ascii="宋体" w:hAnsi="宋体" w:eastAsia="宋体" w:cs="宋体"/>
          <w:spacing w:val="-7"/>
          <w:sz w:val="21"/>
          <w:szCs w:val="21"/>
        </w:rPr>
        <w:t>件 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0"/>
        <w:jc w:val="center"/>
        <w:textAlignment w:val="baseline"/>
        <w:rPr>
          <w:rFonts w:hint="eastAsia" w:ascii="宋体" w:hAnsi="宋体" w:eastAsia="宋体" w:cs="宋体"/>
          <w:spacing w:val="-7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16"/>
          <w:sz w:val="28"/>
          <w:szCs w:val="2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浙</w:t>
      </w:r>
      <w:r>
        <w:rPr>
          <w:rFonts w:hint="eastAsia" w:ascii="宋体" w:hAnsi="宋体" w:eastAsia="宋体" w:cs="宋体"/>
          <w:b/>
          <w:bCs/>
          <w:spacing w:val="10"/>
          <w:sz w:val="28"/>
          <w:szCs w:val="2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江省</w:t>
      </w:r>
      <w:r>
        <w:rPr>
          <w:rFonts w:hint="eastAsia" w:ascii="宋体" w:hAnsi="宋体" w:eastAsia="宋体" w:cs="宋体"/>
          <w:b/>
          <w:bCs/>
          <w:spacing w:val="10"/>
          <w:sz w:val="28"/>
          <w:szCs w:val="28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数理医学学会</w:t>
      </w:r>
      <w:r>
        <w:rPr>
          <w:rFonts w:hint="eastAsia" w:ascii="宋体" w:hAnsi="宋体" w:eastAsia="宋体" w:cs="宋体"/>
          <w:b/>
          <w:bCs/>
          <w:spacing w:val="10"/>
          <w:sz w:val="28"/>
          <w:szCs w:val="2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团体标准申请表</w:t>
      </w:r>
    </w:p>
    <w:bookmarkEnd w:id="0"/>
    <w:tbl>
      <w:tblPr>
        <w:tblStyle w:val="4"/>
        <w:tblpPr w:leftFromText="180" w:rightFromText="180" w:vertAnchor="text" w:horzAnchor="page" w:tblpX="1562" w:tblpY="639"/>
        <w:tblOverlap w:val="never"/>
        <w:tblW w:w="90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367"/>
        <w:gridCol w:w="887"/>
        <w:gridCol w:w="687"/>
        <w:gridCol w:w="1045"/>
        <w:gridCol w:w="259"/>
        <w:gridCol w:w="316"/>
        <w:gridCol w:w="488"/>
        <w:gridCol w:w="24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标准中文名称</w:t>
            </w:r>
          </w:p>
        </w:tc>
        <w:tc>
          <w:tcPr>
            <w:tcW w:w="7457" w:type="dxa"/>
            <w:gridSpan w:val="8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标准英文名称</w:t>
            </w:r>
          </w:p>
        </w:tc>
        <w:tc>
          <w:tcPr>
            <w:tcW w:w="7457" w:type="dxa"/>
            <w:gridSpan w:val="8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制定或修订</w:t>
            </w:r>
          </w:p>
        </w:tc>
        <w:tc>
          <w:tcPr>
            <w:tcW w:w="2941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□ 制定    □ 修订</w:t>
            </w:r>
          </w:p>
        </w:tc>
        <w:tc>
          <w:tcPr>
            <w:tcW w:w="1620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被修订标准号</w:t>
            </w:r>
          </w:p>
        </w:tc>
        <w:tc>
          <w:tcPr>
            <w:tcW w:w="2896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ICS分类号</w:t>
            </w:r>
          </w:p>
        </w:tc>
        <w:tc>
          <w:tcPr>
            <w:tcW w:w="2941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620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CCS分类号</w:t>
            </w:r>
          </w:p>
        </w:tc>
        <w:tc>
          <w:tcPr>
            <w:tcW w:w="2896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国民经济行业分类号</w:t>
            </w:r>
          </w:p>
        </w:tc>
        <w:tc>
          <w:tcPr>
            <w:tcW w:w="2941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采用快速程序</w:t>
            </w:r>
          </w:p>
        </w:tc>
        <w:tc>
          <w:tcPr>
            <w:tcW w:w="2896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编制起止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2941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计划投入经费（万元）</w:t>
            </w:r>
          </w:p>
        </w:tc>
        <w:tc>
          <w:tcPr>
            <w:tcW w:w="2896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3" w:type="dxa"/>
            <w:vMerge w:val="restart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标</w:t>
            </w:r>
          </w:p>
        </w:tc>
        <w:tc>
          <w:tcPr>
            <w:tcW w:w="3986" w:type="dxa"/>
            <w:gridSpan w:val="4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无采标</w:t>
            </w:r>
          </w:p>
        </w:tc>
        <w:tc>
          <w:tcPr>
            <w:tcW w:w="1063" w:type="dxa"/>
            <w:gridSpan w:val="3"/>
            <w:vMerge w:val="restart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采标标准编号</w:t>
            </w:r>
          </w:p>
        </w:tc>
        <w:tc>
          <w:tcPr>
            <w:tcW w:w="2408" w:type="dxa"/>
            <w:vMerge w:val="restart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3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986" w:type="dxa"/>
            <w:gridSpan w:val="4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等同采用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修改采用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非等效采用</w:t>
            </w:r>
          </w:p>
        </w:tc>
        <w:tc>
          <w:tcPr>
            <w:tcW w:w="1063" w:type="dxa"/>
            <w:gridSpan w:val="3"/>
            <w:vMerge w:val="continue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8" w:type="dxa"/>
            <w:vMerge w:val="continue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项目提出单位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7457" w:type="dxa"/>
            <w:gridSpan w:val="8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单位类型</w:t>
            </w:r>
          </w:p>
        </w:tc>
        <w:tc>
          <w:tcPr>
            <w:tcW w:w="7457" w:type="dxa"/>
            <w:gridSpan w:val="8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□政府部门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□事业单位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□企业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□其他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地址</w:t>
            </w:r>
          </w:p>
        </w:tc>
        <w:tc>
          <w:tcPr>
            <w:tcW w:w="7457" w:type="dxa"/>
            <w:gridSpan w:val="8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法人</w:t>
            </w:r>
          </w:p>
        </w:tc>
        <w:tc>
          <w:tcPr>
            <w:tcW w:w="1367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87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1991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4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2408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1367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87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1991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04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2408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项目主编单位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745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地址</w:t>
            </w:r>
          </w:p>
        </w:tc>
        <w:tc>
          <w:tcPr>
            <w:tcW w:w="745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主编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19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19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参与单位</w:t>
            </w:r>
          </w:p>
        </w:tc>
        <w:tc>
          <w:tcPr>
            <w:tcW w:w="745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9" w:hRule="atLeast"/>
        </w:trPr>
        <w:tc>
          <w:tcPr>
            <w:tcW w:w="15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背景、目的和必要性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57" w:type="dxa"/>
            <w:gridSpan w:val="8"/>
            <w:tcBorders>
              <w:lef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背景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目的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必要性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both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5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标准主要技术内容和使用范围</w:t>
            </w:r>
          </w:p>
        </w:tc>
        <w:tc>
          <w:tcPr>
            <w:tcW w:w="7457" w:type="dxa"/>
            <w:gridSpan w:val="8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</w:trPr>
        <w:tc>
          <w:tcPr>
            <w:tcW w:w="15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标准章节的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主要内容</w:t>
            </w:r>
          </w:p>
        </w:tc>
        <w:tc>
          <w:tcPr>
            <w:tcW w:w="7457" w:type="dxa"/>
            <w:gridSpan w:val="8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1" w:hRule="atLeast"/>
        </w:trPr>
        <w:tc>
          <w:tcPr>
            <w:tcW w:w="15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有关标准情况简要说明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及与有关法律法规和强制性标准的关系</w:t>
            </w:r>
          </w:p>
        </w:tc>
        <w:tc>
          <w:tcPr>
            <w:tcW w:w="7457" w:type="dxa"/>
            <w:gridSpan w:val="8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</w:trPr>
        <w:tc>
          <w:tcPr>
            <w:tcW w:w="15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项目承担单位/主编单位的能力和保证措施情况简介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57" w:type="dxa"/>
            <w:gridSpan w:val="8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15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可能涉及的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知识产权</w:t>
            </w:r>
          </w:p>
        </w:tc>
        <w:tc>
          <w:tcPr>
            <w:tcW w:w="7457" w:type="dxa"/>
            <w:gridSpan w:val="8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15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制定进度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与计划</w:t>
            </w:r>
          </w:p>
        </w:tc>
        <w:tc>
          <w:tcPr>
            <w:tcW w:w="7457" w:type="dxa"/>
            <w:gridSpan w:val="8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15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项目提出单位意见</w:t>
            </w:r>
          </w:p>
        </w:tc>
        <w:tc>
          <w:tcPr>
            <w:tcW w:w="7457" w:type="dxa"/>
            <w:gridSpan w:val="8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ordWrap w:val="0"/>
              <w:overflowPunct/>
              <w:topLinePunct w:val="0"/>
              <w:bidi w:val="0"/>
              <w:spacing w:line="500" w:lineRule="exact"/>
              <w:jc w:val="righ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（公章）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15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主编单位意见</w:t>
            </w:r>
          </w:p>
        </w:tc>
        <w:tc>
          <w:tcPr>
            <w:tcW w:w="7457" w:type="dxa"/>
            <w:gridSpan w:val="8"/>
            <w:tcBorders>
              <w:lef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（公章）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15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浙江省数理医学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学会意见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457" w:type="dxa"/>
            <w:gridSpan w:val="8"/>
            <w:tcBorders>
              <w:lef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                            （公章）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                          年   月   日</w:t>
            </w:r>
          </w:p>
        </w:tc>
      </w:tr>
    </w:tbl>
    <w:p>
      <w:pPr>
        <w:spacing w:before="168" w:line="230" w:lineRule="auto"/>
        <w:ind w:left="0" w:leftChars="0" w:firstLine="0" w:firstLineChars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pacing w:val="18"/>
          <w:sz w:val="18"/>
          <w:szCs w:val="18"/>
        </w:rPr>
        <w:t>注：</w:t>
      </w:r>
      <w:r>
        <w:rPr>
          <w:rFonts w:hint="eastAsia" w:ascii="宋体" w:hAnsi="宋体" w:eastAsia="宋体" w:cs="宋体"/>
          <w:spacing w:val="16"/>
          <w:sz w:val="18"/>
          <w:szCs w:val="18"/>
        </w:rPr>
        <w:t>1</w:t>
      </w:r>
      <w:r>
        <w:rPr>
          <w:rFonts w:hint="eastAsia" w:ascii="宋体" w:hAnsi="宋体" w:eastAsia="宋体" w:cs="宋体"/>
          <w:spacing w:val="9"/>
          <w:sz w:val="18"/>
          <w:szCs w:val="18"/>
        </w:rPr>
        <w:t>、</w:t>
      </w:r>
      <w:r>
        <w:rPr>
          <w:rFonts w:hint="eastAsia" w:ascii="宋体" w:hAnsi="宋体" w:eastAsia="宋体" w:cs="宋体"/>
          <w:sz w:val="18"/>
          <w:szCs w:val="18"/>
        </w:rPr>
        <w:t>ICS</w:t>
      </w:r>
      <w:r>
        <w:rPr>
          <w:rFonts w:hint="eastAsia" w:ascii="宋体" w:hAnsi="宋体" w:eastAsia="宋体" w:cs="宋体"/>
          <w:spacing w:val="9"/>
          <w:sz w:val="18"/>
          <w:szCs w:val="18"/>
        </w:rPr>
        <w:t>分类号和</w:t>
      </w:r>
      <w:r>
        <w:rPr>
          <w:rFonts w:hint="eastAsia" w:ascii="宋体" w:hAnsi="宋体" w:eastAsia="宋体" w:cs="宋体"/>
          <w:sz w:val="18"/>
          <w:szCs w:val="18"/>
        </w:rPr>
        <w:t>CCS</w:t>
      </w:r>
      <w:r>
        <w:rPr>
          <w:rFonts w:hint="eastAsia" w:ascii="宋体" w:hAnsi="宋体" w:eastAsia="宋体" w:cs="宋体"/>
          <w:spacing w:val="9"/>
          <w:sz w:val="18"/>
          <w:szCs w:val="18"/>
        </w:rPr>
        <w:t>分类号参见国际标准文献分类法和中国标准文献分类法；</w:t>
      </w:r>
    </w:p>
    <w:p>
      <w:pPr>
        <w:spacing w:before="186" w:line="435" w:lineRule="auto"/>
        <w:ind w:left="420" w:leftChars="0" w:right="356" w:firstLine="0" w:firstLineChars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pacing w:val="20"/>
          <w:sz w:val="18"/>
          <w:szCs w:val="18"/>
        </w:rPr>
        <w:t>2</w:t>
      </w:r>
      <w:r>
        <w:rPr>
          <w:rFonts w:hint="eastAsia" w:ascii="宋体" w:hAnsi="宋体" w:eastAsia="宋体" w:cs="宋体"/>
          <w:spacing w:val="10"/>
          <w:sz w:val="18"/>
          <w:szCs w:val="18"/>
        </w:rPr>
        <w:t>、</w:t>
      </w:r>
      <w:r>
        <w:rPr>
          <w:rFonts w:hint="eastAsia" w:ascii="宋体" w:hAnsi="宋体" w:eastAsia="宋体" w:cs="宋体"/>
          <w:sz w:val="18"/>
          <w:szCs w:val="18"/>
        </w:rPr>
        <w:t>FTP</w:t>
      </w:r>
      <w:r>
        <w:rPr>
          <w:rFonts w:hint="eastAsia" w:ascii="宋体" w:hAnsi="宋体" w:eastAsia="宋体" w:cs="宋体"/>
          <w:spacing w:val="10"/>
          <w:sz w:val="18"/>
          <w:szCs w:val="18"/>
        </w:rPr>
        <w:t>-</w:t>
      </w:r>
      <w:r>
        <w:rPr>
          <w:rFonts w:hint="eastAsia" w:ascii="宋体" w:hAnsi="宋体" w:eastAsia="宋体" w:cs="宋体"/>
          <w:sz w:val="18"/>
          <w:szCs w:val="18"/>
        </w:rPr>
        <w:t>B</w:t>
      </w:r>
      <w:r>
        <w:rPr>
          <w:rFonts w:hint="eastAsia" w:ascii="宋体" w:hAnsi="宋体" w:eastAsia="宋体" w:cs="宋体"/>
          <w:spacing w:val="10"/>
          <w:sz w:val="18"/>
          <w:szCs w:val="18"/>
        </w:rPr>
        <w:t>为正常标准制定程序的基础上省略起草阶段，</w:t>
      </w:r>
      <w:r>
        <w:rPr>
          <w:rFonts w:hint="eastAsia" w:ascii="宋体" w:hAnsi="宋体" w:eastAsia="宋体" w:cs="宋体"/>
          <w:sz w:val="18"/>
          <w:szCs w:val="18"/>
        </w:rPr>
        <w:t>FTP</w:t>
      </w:r>
      <w:r>
        <w:rPr>
          <w:rFonts w:hint="eastAsia" w:ascii="宋体" w:hAnsi="宋体" w:eastAsia="宋体" w:cs="宋体"/>
          <w:spacing w:val="10"/>
          <w:sz w:val="18"/>
          <w:szCs w:val="18"/>
        </w:rPr>
        <w:t>-</w:t>
      </w:r>
      <w:r>
        <w:rPr>
          <w:rFonts w:hint="eastAsia" w:ascii="宋体" w:hAnsi="宋体" w:eastAsia="宋体" w:cs="宋体"/>
          <w:sz w:val="18"/>
          <w:szCs w:val="18"/>
        </w:rPr>
        <w:t>C</w:t>
      </w:r>
      <w:r>
        <w:rPr>
          <w:rFonts w:hint="eastAsia" w:ascii="宋体" w:hAnsi="宋体" w:eastAsia="宋体" w:cs="宋体"/>
          <w:spacing w:val="10"/>
          <w:sz w:val="18"/>
          <w:szCs w:val="18"/>
        </w:rPr>
        <w:t>为在正常标准制定程序的基础上省略</w:t>
      </w:r>
      <w:r>
        <w:rPr>
          <w:rFonts w:hint="eastAsia" w:ascii="宋体" w:hAnsi="宋体" w:eastAsia="宋体" w:cs="宋体"/>
          <w:spacing w:val="14"/>
          <w:sz w:val="18"/>
          <w:szCs w:val="18"/>
        </w:rPr>
        <w:t>起</w:t>
      </w:r>
      <w:r>
        <w:rPr>
          <w:rFonts w:hint="eastAsia" w:ascii="宋体" w:hAnsi="宋体" w:eastAsia="宋体" w:cs="宋体"/>
          <w:spacing w:val="8"/>
          <w:sz w:val="18"/>
          <w:szCs w:val="18"/>
        </w:rPr>
        <w:t>草阶段和征求意见阶段；</w:t>
      </w:r>
    </w:p>
    <w:p>
      <w:pPr>
        <w:spacing w:line="220" w:lineRule="auto"/>
        <w:ind w:left="420" w:leftChars="0" w:firstLine="0" w:firstLineChars="0"/>
        <w:sectPr>
          <w:headerReference r:id="rId3" w:type="default"/>
          <w:footerReference r:id="rId4" w:type="default"/>
          <w:pgSz w:w="11906" w:h="16839"/>
          <w:pgMar w:top="850" w:right="1438" w:bottom="850" w:left="1438" w:header="0" w:footer="34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hint="eastAsia" w:ascii="宋体" w:hAnsi="宋体" w:eastAsia="宋体" w:cs="宋体"/>
          <w:spacing w:val="16"/>
          <w:sz w:val="18"/>
          <w:szCs w:val="18"/>
        </w:rPr>
        <w:t>3</w:t>
      </w:r>
      <w:r>
        <w:rPr>
          <w:rFonts w:hint="eastAsia" w:ascii="宋体" w:hAnsi="宋体" w:eastAsia="宋体" w:cs="宋体"/>
          <w:spacing w:val="8"/>
          <w:sz w:val="18"/>
          <w:szCs w:val="18"/>
        </w:rPr>
        <w:t>、</w:t>
      </w:r>
      <w:r>
        <w:rPr>
          <w:rFonts w:hint="eastAsia" w:ascii="宋体" w:hAnsi="宋体" w:eastAsia="宋体" w:cs="宋体"/>
          <w:sz w:val="18"/>
          <w:szCs w:val="18"/>
        </w:rPr>
        <w:t>IDT</w:t>
      </w:r>
      <w:r>
        <w:rPr>
          <w:rFonts w:hint="eastAsia" w:ascii="宋体" w:hAnsi="宋体" w:eastAsia="宋体" w:cs="宋体"/>
          <w:spacing w:val="8"/>
          <w:sz w:val="18"/>
          <w:szCs w:val="18"/>
        </w:rPr>
        <w:t>为等同采用，</w:t>
      </w:r>
      <w:r>
        <w:rPr>
          <w:rFonts w:hint="eastAsia" w:ascii="宋体" w:hAnsi="宋体" w:eastAsia="宋体" w:cs="宋体"/>
          <w:sz w:val="18"/>
          <w:szCs w:val="18"/>
        </w:rPr>
        <w:t>MOD</w:t>
      </w:r>
      <w:r>
        <w:rPr>
          <w:rFonts w:hint="eastAsia" w:ascii="宋体" w:hAnsi="宋体" w:eastAsia="宋体" w:cs="宋体"/>
          <w:spacing w:val="8"/>
          <w:sz w:val="18"/>
          <w:szCs w:val="18"/>
        </w:rPr>
        <w:t>为修改采用，</w:t>
      </w:r>
      <w:r>
        <w:rPr>
          <w:rFonts w:hint="eastAsia" w:ascii="宋体" w:hAnsi="宋体" w:eastAsia="宋体" w:cs="宋体"/>
          <w:sz w:val="18"/>
          <w:szCs w:val="18"/>
        </w:rPr>
        <w:t>NEQ</w:t>
      </w:r>
      <w:r>
        <w:rPr>
          <w:rFonts w:hint="eastAsia" w:ascii="宋体" w:hAnsi="宋体" w:eastAsia="宋体" w:cs="宋体"/>
          <w:spacing w:val="8"/>
          <w:sz w:val="18"/>
          <w:szCs w:val="18"/>
        </w:rPr>
        <w:t>为非等效采用。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0" w:lineRule="auto"/>
        <w:ind w:right="105" w:rightChars="50"/>
        <w:textAlignment w:val="baseline"/>
        <w:rPr>
          <w:rFonts w:hint="eastAsia" w:ascii="Arial"/>
          <w:sz w:val="21"/>
        </w:rPr>
      </w:pPr>
    </w:p>
    <w:sectPr>
      <w:headerReference r:id="rId5" w:type="default"/>
      <w:pgSz w:w="11906" w:h="16838"/>
      <w:pgMar w:top="1440" w:right="1800" w:bottom="1440" w:left="1800" w:header="851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47B37A3-8CE4-444C-B73E-45BCB426249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D289DDB5-12DF-4F5B-9686-F99B982720D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720" w:right="360"/>
      <w:jc w:val="center"/>
      <w:rPr>
        <w:rFonts w:hint="eastAsia"/>
      </w:rPr>
    </w:pPr>
    <w:r>
      <w:rPr>
        <w:rFonts w:hint="eastAsia"/>
      </w:rPr>
      <w:t>—</w:t>
    </w:r>
    <w:r>
      <w:t xml:space="preserve"> </w:t>
    </w:r>
    <w:sdt>
      <w:sdtPr>
        <w:id w:val="-1348557431"/>
        <w:docPartObj>
          <w:docPartGallery w:val="autotext"/>
        </w:docPartObj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t xml:space="preserve"> </w:t>
        </w:r>
      </w:sdtContent>
    </w:sdt>
    <w:r>
      <w:rPr>
        <w:rFonts w:hint="eastAsia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kinsoku w:val="0"/>
      <w:autoSpaceDE w:val="0"/>
      <w:autoSpaceDN w:val="0"/>
      <w:adjustRightInd w:val="0"/>
      <w:snapToGrid w:val="0"/>
      <w:jc w:val="center"/>
      <w:textAlignment w:val="baseli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EC14CB"/>
    <w:multiLevelType w:val="multilevel"/>
    <w:tmpl w:val="60EC14CB"/>
    <w:lvl w:ilvl="0" w:tentative="0">
      <w:start w:val="1"/>
      <w:numFmt w:val="chineseCountingThousand"/>
      <w:pStyle w:val="11"/>
      <w:lvlText w:val="(%1)"/>
      <w:lvlJc w:val="left"/>
      <w:pPr>
        <w:ind w:left="1048" w:hanging="420"/>
      </w:pPr>
      <w:rPr>
        <w:rFonts w:hint="default"/>
        <w:b w:val="0"/>
        <w:bCs w:val="0"/>
      </w:rPr>
    </w:lvl>
    <w:lvl w:ilvl="1" w:tentative="0">
      <w:start w:val="1"/>
      <w:numFmt w:val="decimal"/>
      <w:lvlText w:val="%2."/>
      <w:lvlJc w:val="left"/>
      <w:pPr>
        <w:ind w:left="1408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888" w:hanging="420"/>
      </w:pPr>
    </w:lvl>
    <w:lvl w:ilvl="3" w:tentative="0">
      <w:start w:val="1"/>
      <w:numFmt w:val="decimal"/>
      <w:lvlText w:val="%4."/>
      <w:lvlJc w:val="left"/>
      <w:pPr>
        <w:ind w:left="2308" w:hanging="420"/>
      </w:pPr>
    </w:lvl>
    <w:lvl w:ilvl="4" w:tentative="0">
      <w:start w:val="1"/>
      <w:numFmt w:val="lowerLetter"/>
      <w:lvlText w:val="%5)"/>
      <w:lvlJc w:val="left"/>
      <w:pPr>
        <w:ind w:left="2728" w:hanging="420"/>
      </w:pPr>
    </w:lvl>
    <w:lvl w:ilvl="5" w:tentative="0">
      <w:start w:val="1"/>
      <w:numFmt w:val="lowerRoman"/>
      <w:lvlText w:val="%6."/>
      <w:lvlJc w:val="right"/>
      <w:pPr>
        <w:ind w:left="3148" w:hanging="420"/>
      </w:pPr>
    </w:lvl>
    <w:lvl w:ilvl="6" w:tentative="0">
      <w:start w:val="1"/>
      <w:numFmt w:val="decimal"/>
      <w:lvlText w:val="%7."/>
      <w:lvlJc w:val="left"/>
      <w:pPr>
        <w:ind w:left="3568" w:hanging="420"/>
      </w:pPr>
    </w:lvl>
    <w:lvl w:ilvl="7" w:tentative="0">
      <w:start w:val="1"/>
      <w:numFmt w:val="lowerLetter"/>
      <w:lvlText w:val="%8)"/>
      <w:lvlJc w:val="left"/>
      <w:pPr>
        <w:ind w:left="3988" w:hanging="420"/>
      </w:pPr>
    </w:lvl>
    <w:lvl w:ilvl="8" w:tentative="0">
      <w:start w:val="1"/>
      <w:numFmt w:val="lowerRoman"/>
      <w:lvlText w:val="%9."/>
      <w:lvlJc w:val="right"/>
      <w:pPr>
        <w:ind w:left="440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mZWNiOWJjZDM4ZjVmODEwZDZjOWY5MjQ0OGUyMjkifQ=="/>
  </w:docVars>
  <w:rsids>
    <w:rsidRoot w:val="00FE5DFC"/>
    <w:rsid w:val="00115AF1"/>
    <w:rsid w:val="001A6B52"/>
    <w:rsid w:val="001D183D"/>
    <w:rsid w:val="00250678"/>
    <w:rsid w:val="002D0C5B"/>
    <w:rsid w:val="00342D87"/>
    <w:rsid w:val="00343B63"/>
    <w:rsid w:val="00553C9C"/>
    <w:rsid w:val="00616E8C"/>
    <w:rsid w:val="00662E9C"/>
    <w:rsid w:val="006637CC"/>
    <w:rsid w:val="006D0A40"/>
    <w:rsid w:val="00711849"/>
    <w:rsid w:val="007D5423"/>
    <w:rsid w:val="00846952"/>
    <w:rsid w:val="008F7C2D"/>
    <w:rsid w:val="00910625"/>
    <w:rsid w:val="00915B47"/>
    <w:rsid w:val="00916173"/>
    <w:rsid w:val="00953493"/>
    <w:rsid w:val="009A58D7"/>
    <w:rsid w:val="00A00D12"/>
    <w:rsid w:val="00A447F0"/>
    <w:rsid w:val="00A516B2"/>
    <w:rsid w:val="00A72B23"/>
    <w:rsid w:val="00B756CB"/>
    <w:rsid w:val="00B9737F"/>
    <w:rsid w:val="00C5514F"/>
    <w:rsid w:val="00E27F77"/>
    <w:rsid w:val="00E84BF5"/>
    <w:rsid w:val="00E90702"/>
    <w:rsid w:val="00FE5DFC"/>
    <w:rsid w:val="011473B7"/>
    <w:rsid w:val="01814321"/>
    <w:rsid w:val="01FE0AA5"/>
    <w:rsid w:val="023442CE"/>
    <w:rsid w:val="02405F8A"/>
    <w:rsid w:val="027B2DC9"/>
    <w:rsid w:val="03F90AE6"/>
    <w:rsid w:val="04300BFA"/>
    <w:rsid w:val="07A56FBB"/>
    <w:rsid w:val="07A64448"/>
    <w:rsid w:val="07D020A3"/>
    <w:rsid w:val="08344B54"/>
    <w:rsid w:val="08BB45BC"/>
    <w:rsid w:val="0A230FB6"/>
    <w:rsid w:val="0A375EC4"/>
    <w:rsid w:val="0A5151D8"/>
    <w:rsid w:val="0ABC5211"/>
    <w:rsid w:val="0B660046"/>
    <w:rsid w:val="0BDA2FAB"/>
    <w:rsid w:val="0C0578E3"/>
    <w:rsid w:val="0D214743"/>
    <w:rsid w:val="0D8256A8"/>
    <w:rsid w:val="0DD203DE"/>
    <w:rsid w:val="0DD24882"/>
    <w:rsid w:val="0F046CBD"/>
    <w:rsid w:val="0F7D7F1D"/>
    <w:rsid w:val="0FBA55CD"/>
    <w:rsid w:val="104A0159"/>
    <w:rsid w:val="10CF6E57"/>
    <w:rsid w:val="11D4574E"/>
    <w:rsid w:val="11D5049D"/>
    <w:rsid w:val="13381A96"/>
    <w:rsid w:val="134E19D7"/>
    <w:rsid w:val="13EA20B4"/>
    <w:rsid w:val="14186D67"/>
    <w:rsid w:val="146125DD"/>
    <w:rsid w:val="14E96399"/>
    <w:rsid w:val="164D0F49"/>
    <w:rsid w:val="170B4961"/>
    <w:rsid w:val="17147CB9"/>
    <w:rsid w:val="17DB4333"/>
    <w:rsid w:val="1809371C"/>
    <w:rsid w:val="18357EE7"/>
    <w:rsid w:val="18F31283"/>
    <w:rsid w:val="19187F8A"/>
    <w:rsid w:val="1AAC628F"/>
    <w:rsid w:val="1AED2809"/>
    <w:rsid w:val="1AEE6276"/>
    <w:rsid w:val="1B256AEA"/>
    <w:rsid w:val="1C197B20"/>
    <w:rsid w:val="1CDD6D9F"/>
    <w:rsid w:val="1D1722B1"/>
    <w:rsid w:val="1D1F2F14"/>
    <w:rsid w:val="1DD71A40"/>
    <w:rsid w:val="1DE57CB9"/>
    <w:rsid w:val="1EC91389"/>
    <w:rsid w:val="1F52137F"/>
    <w:rsid w:val="2016589D"/>
    <w:rsid w:val="20511636"/>
    <w:rsid w:val="20A83220"/>
    <w:rsid w:val="215C24C3"/>
    <w:rsid w:val="217001E2"/>
    <w:rsid w:val="22496313"/>
    <w:rsid w:val="22A31EF1"/>
    <w:rsid w:val="230A1F70"/>
    <w:rsid w:val="23294AEC"/>
    <w:rsid w:val="24EA3E07"/>
    <w:rsid w:val="26F826F2"/>
    <w:rsid w:val="27C324F7"/>
    <w:rsid w:val="291678C1"/>
    <w:rsid w:val="2A3049B2"/>
    <w:rsid w:val="2C1F6A8C"/>
    <w:rsid w:val="2C956D4E"/>
    <w:rsid w:val="2D145EC5"/>
    <w:rsid w:val="2E026666"/>
    <w:rsid w:val="2E6403BD"/>
    <w:rsid w:val="2F8D6403"/>
    <w:rsid w:val="306E3B3E"/>
    <w:rsid w:val="31EA26EF"/>
    <w:rsid w:val="323B2146"/>
    <w:rsid w:val="32A221C5"/>
    <w:rsid w:val="34140EA1"/>
    <w:rsid w:val="34211FDD"/>
    <w:rsid w:val="34C24459"/>
    <w:rsid w:val="34D77351"/>
    <w:rsid w:val="35C35673"/>
    <w:rsid w:val="368F6A33"/>
    <w:rsid w:val="375241BA"/>
    <w:rsid w:val="37B36510"/>
    <w:rsid w:val="38174ABC"/>
    <w:rsid w:val="38187E82"/>
    <w:rsid w:val="38562FF1"/>
    <w:rsid w:val="38832151"/>
    <w:rsid w:val="389E51DD"/>
    <w:rsid w:val="39813AD2"/>
    <w:rsid w:val="39D72754"/>
    <w:rsid w:val="39FA7D5B"/>
    <w:rsid w:val="3A0379ED"/>
    <w:rsid w:val="3AE7571D"/>
    <w:rsid w:val="3B2E2848"/>
    <w:rsid w:val="3CA56B3A"/>
    <w:rsid w:val="3CBE446A"/>
    <w:rsid w:val="3CFC0724"/>
    <w:rsid w:val="3D304025"/>
    <w:rsid w:val="3DCF7277"/>
    <w:rsid w:val="3EB412B6"/>
    <w:rsid w:val="3F3917BB"/>
    <w:rsid w:val="3FC92B3F"/>
    <w:rsid w:val="408178BE"/>
    <w:rsid w:val="4084115C"/>
    <w:rsid w:val="40BC08F6"/>
    <w:rsid w:val="41210759"/>
    <w:rsid w:val="418F37D0"/>
    <w:rsid w:val="41E301F9"/>
    <w:rsid w:val="42380450"/>
    <w:rsid w:val="44714EA6"/>
    <w:rsid w:val="44E9514A"/>
    <w:rsid w:val="44FF0DB1"/>
    <w:rsid w:val="452D591E"/>
    <w:rsid w:val="4599135E"/>
    <w:rsid w:val="4746716B"/>
    <w:rsid w:val="47486A40"/>
    <w:rsid w:val="47DF42DE"/>
    <w:rsid w:val="48C447EC"/>
    <w:rsid w:val="48D82045"/>
    <w:rsid w:val="4BB01057"/>
    <w:rsid w:val="4C0575F5"/>
    <w:rsid w:val="4C891FD4"/>
    <w:rsid w:val="4E0701D5"/>
    <w:rsid w:val="4E194849"/>
    <w:rsid w:val="4E600212"/>
    <w:rsid w:val="4EF179BD"/>
    <w:rsid w:val="50125E3D"/>
    <w:rsid w:val="50354221"/>
    <w:rsid w:val="50721A40"/>
    <w:rsid w:val="50770396"/>
    <w:rsid w:val="50D61560"/>
    <w:rsid w:val="510065DD"/>
    <w:rsid w:val="51B911B3"/>
    <w:rsid w:val="52412A09"/>
    <w:rsid w:val="52EA12F3"/>
    <w:rsid w:val="536D4A7F"/>
    <w:rsid w:val="540F3EF7"/>
    <w:rsid w:val="546E385E"/>
    <w:rsid w:val="556F5ADF"/>
    <w:rsid w:val="55872D08"/>
    <w:rsid w:val="57517B92"/>
    <w:rsid w:val="57C80598"/>
    <w:rsid w:val="5852253F"/>
    <w:rsid w:val="594D6137"/>
    <w:rsid w:val="596B6092"/>
    <w:rsid w:val="597C1AE0"/>
    <w:rsid w:val="599077D6"/>
    <w:rsid w:val="599E31CC"/>
    <w:rsid w:val="5AD64024"/>
    <w:rsid w:val="5B2C5B32"/>
    <w:rsid w:val="5BEA76BA"/>
    <w:rsid w:val="5BF423AA"/>
    <w:rsid w:val="5C701A68"/>
    <w:rsid w:val="5DA472B6"/>
    <w:rsid w:val="5E39312E"/>
    <w:rsid w:val="5EE17A4E"/>
    <w:rsid w:val="60213E7A"/>
    <w:rsid w:val="608C1C3B"/>
    <w:rsid w:val="60F04CC1"/>
    <w:rsid w:val="60FD6695"/>
    <w:rsid w:val="61C86CA3"/>
    <w:rsid w:val="635C0E45"/>
    <w:rsid w:val="63EB6C79"/>
    <w:rsid w:val="64221404"/>
    <w:rsid w:val="64937D41"/>
    <w:rsid w:val="65420B1A"/>
    <w:rsid w:val="65764C68"/>
    <w:rsid w:val="660F6AEA"/>
    <w:rsid w:val="66FB1DB9"/>
    <w:rsid w:val="671E7365"/>
    <w:rsid w:val="682F784C"/>
    <w:rsid w:val="68D00BCE"/>
    <w:rsid w:val="69004F74"/>
    <w:rsid w:val="698E18AF"/>
    <w:rsid w:val="69CC4E56"/>
    <w:rsid w:val="69EB1780"/>
    <w:rsid w:val="6B3E7FD6"/>
    <w:rsid w:val="6D77332B"/>
    <w:rsid w:val="6F4436E1"/>
    <w:rsid w:val="6F5E29F5"/>
    <w:rsid w:val="704716DB"/>
    <w:rsid w:val="70E95F6D"/>
    <w:rsid w:val="71AE3F92"/>
    <w:rsid w:val="72B33057"/>
    <w:rsid w:val="738564EC"/>
    <w:rsid w:val="73EF00BF"/>
    <w:rsid w:val="7443040B"/>
    <w:rsid w:val="746E36DA"/>
    <w:rsid w:val="74782E6F"/>
    <w:rsid w:val="7487654A"/>
    <w:rsid w:val="75466405"/>
    <w:rsid w:val="76E51CAC"/>
    <w:rsid w:val="78727319"/>
    <w:rsid w:val="78941235"/>
    <w:rsid w:val="78F47F26"/>
    <w:rsid w:val="79051375"/>
    <w:rsid w:val="79B0209F"/>
    <w:rsid w:val="7B1E4DB3"/>
    <w:rsid w:val="7B563A69"/>
    <w:rsid w:val="7C1E59E5"/>
    <w:rsid w:val="7C1F350C"/>
    <w:rsid w:val="7E941F8F"/>
    <w:rsid w:val="7EB77A2B"/>
    <w:rsid w:val="7ECF2FC7"/>
    <w:rsid w:val="7EFF102E"/>
    <w:rsid w:val="7F1E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link w:val="12"/>
    <w:qFormat/>
    <w:uiPriority w:val="34"/>
    <w:pPr>
      <w:ind w:firstLine="420" w:firstLineChars="200"/>
    </w:pPr>
  </w:style>
  <w:style w:type="paragraph" w:customStyle="1" w:styleId="8">
    <w:name w:val="Revision"/>
    <w:hidden/>
    <w:semiHidden/>
    <w:qFormat/>
    <w:uiPriority w:val="99"/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paragraph" w:customStyle="1" w:styleId="9">
    <w:name w:val="标准条款"/>
    <w:basedOn w:val="1"/>
    <w:qFormat/>
    <w:uiPriority w:val="0"/>
    <w:pPr>
      <w:kinsoku/>
      <w:topLinePunct/>
      <w:spacing w:line="276" w:lineRule="auto"/>
      <w:ind w:firstLine="200" w:firstLineChars="200"/>
      <w:jc w:val="both"/>
    </w:pPr>
    <w:rPr>
      <w:rFonts w:ascii="仿宋" w:hAnsi="仿宋" w:eastAsia="仿宋"/>
      <w:sz w:val="32"/>
      <w:szCs w:val="32"/>
    </w:rPr>
  </w:style>
  <w:style w:type="paragraph" w:customStyle="1" w:styleId="10">
    <w:name w:val="标准章节名"/>
    <w:basedOn w:val="1"/>
    <w:qFormat/>
    <w:uiPriority w:val="0"/>
    <w:pPr>
      <w:shd w:val="clear" w:color="auto" w:fill="FFFFFF"/>
      <w:ind w:firstLine="643" w:firstLineChars="200"/>
    </w:pPr>
    <w:rPr>
      <w:rFonts w:ascii="仿宋" w:hAnsi="仿宋" w:eastAsia="黑体"/>
      <w:sz w:val="32"/>
      <w:szCs w:val="32"/>
    </w:rPr>
  </w:style>
  <w:style w:type="paragraph" w:customStyle="1" w:styleId="11">
    <w:name w:val="列表1"/>
    <w:basedOn w:val="7"/>
    <w:link w:val="13"/>
    <w:qFormat/>
    <w:uiPriority w:val="0"/>
    <w:pPr>
      <w:numPr>
        <w:ilvl w:val="0"/>
        <w:numId w:val="1"/>
      </w:numPr>
      <w:kinsoku/>
      <w:topLinePunct/>
      <w:autoSpaceDE/>
      <w:autoSpaceDN/>
      <w:spacing w:line="276" w:lineRule="auto"/>
      <w:ind w:left="629" w:firstLine="0" w:firstLineChars="0"/>
      <w:jc w:val="both"/>
    </w:pPr>
    <w:rPr>
      <w:rFonts w:ascii="仿宋" w:hAnsi="仿宋" w:eastAsia="仿宋"/>
      <w:spacing w:val="-3"/>
      <w:sz w:val="32"/>
      <w:szCs w:val="32"/>
    </w:rPr>
  </w:style>
  <w:style w:type="character" w:customStyle="1" w:styleId="12">
    <w:name w:val="列表段落 字符"/>
    <w:basedOn w:val="6"/>
    <w:link w:val="7"/>
    <w:qFormat/>
    <w:uiPriority w:val="34"/>
    <w:rPr>
      <w:rFonts w:ascii="Arial" w:hAnsi="Arial" w:eastAsia="宋体" w:cs="Arial"/>
      <w:color w:val="000000"/>
      <w:kern w:val="0"/>
      <w:szCs w:val="21"/>
    </w:rPr>
  </w:style>
  <w:style w:type="character" w:customStyle="1" w:styleId="13">
    <w:name w:val="列表1 字符"/>
    <w:basedOn w:val="12"/>
    <w:link w:val="11"/>
    <w:qFormat/>
    <w:uiPriority w:val="0"/>
    <w:rPr>
      <w:rFonts w:ascii="仿宋" w:hAnsi="仿宋" w:eastAsia="仿宋" w:cs="Arial"/>
      <w:color w:val="000000"/>
      <w:spacing w:val="-3"/>
      <w:kern w:val="0"/>
      <w:sz w:val="32"/>
      <w:szCs w:val="32"/>
    </w:rPr>
  </w:style>
  <w:style w:type="character" w:customStyle="1" w:styleId="14">
    <w:name w:val="页眉 字符"/>
    <w:basedOn w:val="6"/>
    <w:link w:val="3"/>
    <w:qFormat/>
    <w:uiPriority w:val="99"/>
    <w:rPr>
      <w:rFonts w:ascii="Arial" w:hAnsi="Arial" w:eastAsia="宋体" w:cs="Arial"/>
      <w:color w:val="000000"/>
      <w:kern w:val="0"/>
      <w:sz w:val="18"/>
      <w:szCs w:val="18"/>
    </w:rPr>
  </w:style>
  <w:style w:type="character" w:customStyle="1" w:styleId="15">
    <w:name w:val="页脚 字符"/>
    <w:basedOn w:val="6"/>
    <w:link w:val="2"/>
    <w:qFormat/>
    <w:uiPriority w:val="99"/>
    <w:rPr>
      <w:rFonts w:ascii="Arial" w:hAnsi="Arial" w:eastAsia="宋体" w:cs="Arial"/>
      <w:color w:val="000000"/>
      <w:kern w:val="0"/>
      <w:sz w:val="18"/>
      <w:szCs w:val="18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6480</Words>
  <Characters>6541</Characters>
  <Lines>30</Lines>
  <Paragraphs>8</Paragraphs>
  <TotalTime>19</TotalTime>
  <ScaleCrop>false</ScaleCrop>
  <LinksUpToDate>false</LinksUpToDate>
  <CharactersWithSpaces>7610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2023-01-30T10:11:00Z</dcterms:created>
  <dc:creator>Siyu Zhu</dc:creator>
  <cp:lastModifiedBy>严乾超</cp:lastModifiedBy>
  <dcterms:modified xsi:type="dcterms:W3CDTF">2023-03-21T01:08:31Z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2023-01-30T02:11:32Z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00a447a2-a0b7-4c9d-9872-c61b8a4a428c</vt:lpwstr>
  </property>
  <property fmtid="{D5CDD505-2E9C-101B-9397-08002B2CF9AE}" pid="7" name="MSIP_Label_defa4170-0d19-0005-0004-bc88714345d2_ActionId">
    <vt:lpwstr>f99aba81-c45a-421f-9e21-19c4216feeb6</vt:lpwstr>
  </property>
  <property fmtid="{D5CDD505-2E9C-101B-9397-08002B2CF9AE}" pid="8" name="MSIP_Label_defa4170-0d19-0005-0004-bc88714345d2_ContentBits">
    <vt:lpwstr>0</vt:lpwstr>
  </property>
  <property fmtid="{D5CDD505-2E9C-101B-9397-08002B2CF9AE}" pid="9" name="KSOProductBuildVer">
    <vt:lpwstr>2052-11.1.0.12980</vt:lpwstr>
  </property>
  <property fmtid="{D5CDD505-2E9C-101B-9397-08002B2CF9AE}" pid="10" name="ICV">
    <vt:lpwstr>010DDC828ED3DCA11833D76359DCED99</vt:lpwstr>
  </property>
</Properties>
</file>